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B94348B" w14:textId="04963C4A" w:rsidR="00D75E0A" w:rsidRPr="006A36F5" w:rsidRDefault="00FB333F" w:rsidP="007C00FF">
      <w:pPr>
        <w:spacing w:before="120" w:line="276" w:lineRule="auto"/>
        <w:jc w:val="center"/>
        <w:outlineLvl w:val="0"/>
        <w:rPr>
          <w:rFonts w:ascii="Verdana" w:hAnsi="Verdana" w:cstheme="minorHAnsi"/>
          <w:sz w:val="18"/>
          <w:szCs w:val="18"/>
        </w:rPr>
      </w:pPr>
      <w:r w:rsidRPr="006A36F5">
        <w:rPr>
          <w:rFonts w:ascii="Verdana" w:hAnsi="Verdana" w:cstheme="minorHAnsi"/>
          <w:sz w:val="18"/>
          <w:szCs w:val="18"/>
        </w:rPr>
        <w:t xml:space="preserve">Wymianę istniejących łączników SN sterownych zdalnie (rozłącznik SN, reklozer SN ) w istniejących liniach napowietrznych SN  na terenie Rejonu Energetycznego </w:t>
      </w:r>
      <w:r w:rsidR="006A36F5" w:rsidRPr="006A36F5">
        <w:rPr>
          <w:rFonts w:ascii="Verdana" w:hAnsi="Verdana" w:cstheme="minorHAnsi"/>
          <w:sz w:val="18"/>
          <w:szCs w:val="18"/>
        </w:rPr>
        <w:t xml:space="preserve">Żyrardów </w:t>
      </w:r>
      <w:r w:rsidRPr="006A36F5">
        <w:rPr>
          <w:rFonts w:ascii="Verdana" w:hAnsi="Verdana" w:cstheme="minorHAnsi"/>
          <w:sz w:val="18"/>
          <w:szCs w:val="18"/>
        </w:rPr>
        <w:t xml:space="preserve"> - </w:t>
      </w:r>
      <w:r w:rsidR="006A36F5" w:rsidRPr="00207A7F">
        <w:rPr>
          <w:rFonts w:ascii="Verdana" w:hAnsi="Verdana" w:cstheme="minorHAnsi"/>
          <w:b/>
          <w:bCs/>
          <w:sz w:val="18"/>
          <w:szCs w:val="18"/>
        </w:rPr>
        <w:t>P</w:t>
      </w:r>
      <w:r w:rsidRPr="00207A7F">
        <w:rPr>
          <w:rFonts w:ascii="Verdana" w:hAnsi="Verdana" w:cstheme="minorHAnsi"/>
          <w:b/>
          <w:bCs/>
          <w:sz w:val="18"/>
          <w:szCs w:val="18"/>
        </w:rPr>
        <w:t xml:space="preserve">akiet </w:t>
      </w:r>
      <w:r w:rsidR="006A36F5" w:rsidRPr="00207A7F">
        <w:rPr>
          <w:rFonts w:ascii="Verdana" w:hAnsi="Verdana" w:cstheme="minorHAnsi"/>
          <w:b/>
          <w:bCs/>
          <w:sz w:val="18"/>
          <w:szCs w:val="18"/>
        </w:rPr>
        <w:t>I</w:t>
      </w:r>
      <w:r w:rsidR="007C00FF" w:rsidRPr="006A36F5">
        <w:rPr>
          <w:rFonts w:ascii="Verdana" w:hAnsi="Verdana" w:cstheme="minorHAnsi"/>
          <w:sz w:val="18"/>
          <w:szCs w:val="18"/>
        </w:rPr>
        <w:t>”</w:t>
      </w:r>
    </w:p>
    <w:p w14:paraId="43A5B177" w14:textId="1CF3A04F" w:rsidR="006A36F5" w:rsidRDefault="006A36F5" w:rsidP="006A36F5">
      <w:pPr>
        <w:spacing w:before="120" w:line="276" w:lineRule="auto"/>
        <w:jc w:val="left"/>
        <w:outlineLvl w:val="0"/>
        <w:rPr>
          <w:rFonts w:ascii="Verdana" w:hAnsi="Verdana" w:cstheme="minorHAnsi"/>
          <w:sz w:val="18"/>
          <w:szCs w:val="18"/>
          <w:u w:val="single"/>
        </w:rPr>
      </w:pPr>
      <w:r w:rsidRPr="006A36F5">
        <w:rPr>
          <w:rFonts w:ascii="Verdana" w:hAnsi="Verdana" w:cstheme="minorHAnsi"/>
          <w:sz w:val="18"/>
          <w:szCs w:val="18"/>
          <w:u w:val="single"/>
        </w:rPr>
        <w:t xml:space="preserve">W podziale na zadania </w:t>
      </w:r>
      <w:r>
        <w:rPr>
          <w:rFonts w:ascii="Verdana" w:hAnsi="Verdana" w:cstheme="minorHAnsi"/>
          <w:sz w:val="18"/>
          <w:szCs w:val="18"/>
          <w:u w:val="single"/>
        </w:rPr>
        <w:t>:</w:t>
      </w:r>
    </w:p>
    <w:p w14:paraId="388A1CB9" w14:textId="77777777" w:rsidR="006A36F5" w:rsidRDefault="006A36F5" w:rsidP="006A36F5">
      <w:pPr>
        <w:spacing w:before="120" w:line="276" w:lineRule="auto"/>
        <w:jc w:val="left"/>
        <w:outlineLvl w:val="0"/>
        <w:rPr>
          <w:rFonts w:ascii="Verdana" w:hAnsi="Verdana" w:cstheme="minorHAnsi"/>
          <w:sz w:val="18"/>
          <w:szCs w:val="18"/>
        </w:rPr>
      </w:pPr>
      <w:r w:rsidRPr="006A36F5">
        <w:rPr>
          <w:rFonts w:ascii="Verdana" w:hAnsi="Verdana" w:cstheme="minorHAnsi"/>
          <w:b/>
          <w:bCs/>
          <w:sz w:val="18"/>
          <w:szCs w:val="18"/>
          <w:u w:val="single"/>
        </w:rPr>
        <w:t>Zadanie 1</w:t>
      </w:r>
      <w:r w:rsidRPr="006A36F5">
        <w:rPr>
          <w:rFonts w:ascii="Verdana" w:hAnsi="Verdana" w:cstheme="minorHAnsi"/>
          <w:sz w:val="18"/>
          <w:szCs w:val="18"/>
        </w:rPr>
        <w:t xml:space="preserve"> – wymiana istniejącego rozłącznika SN </w:t>
      </w:r>
      <w:r w:rsidRPr="006A36F5">
        <w:rPr>
          <w:rFonts w:ascii="Verdana" w:hAnsi="Verdana" w:cstheme="minorHAnsi"/>
          <w:b/>
          <w:bCs/>
          <w:sz w:val="18"/>
          <w:szCs w:val="18"/>
        </w:rPr>
        <w:t>22-R-2558</w:t>
      </w:r>
      <w:r w:rsidRPr="006A36F5">
        <w:rPr>
          <w:rFonts w:ascii="Verdana" w:hAnsi="Verdana" w:cstheme="minorHAnsi"/>
          <w:sz w:val="18"/>
          <w:szCs w:val="18"/>
        </w:rPr>
        <w:t xml:space="preserve"> oraz </w:t>
      </w:r>
      <w:r w:rsidRPr="006A36F5">
        <w:rPr>
          <w:rFonts w:ascii="Verdana" w:hAnsi="Verdana" w:cstheme="minorHAnsi"/>
          <w:b/>
          <w:bCs/>
          <w:sz w:val="18"/>
          <w:szCs w:val="18"/>
        </w:rPr>
        <w:t>22-R-2556</w:t>
      </w:r>
      <w:r w:rsidRPr="006A36F5">
        <w:rPr>
          <w:rFonts w:ascii="Verdana" w:hAnsi="Verdana" w:cstheme="minorHAnsi"/>
          <w:sz w:val="18"/>
          <w:szCs w:val="18"/>
        </w:rPr>
        <w:t xml:space="preserve"> na nowe </w:t>
      </w:r>
      <w:r>
        <w:rPr>
          <w:rFonts w:ascii="Verdana" w:hAnsi="Verdana" w:cstheme="minorHAnsi"/>
          <w:sz w:val="18"/>
          <w:szCs w:val="18"/>
        </w:rPr>
        <w:t xml:space="preserve">          </w:t>
      </w:r>
    </w:p>
    <w:p w14:paraId="137468E6" w14:textId="05594B12" w:rsidR="006A36F5" w:rsidRPr="006A36F5" w:rsidRDefault="006A36F5" w:rsidP="006A36F5">
      <w:pPr>
        <w:spacing w:before="120" w:line="276" w:lineRule="auto"/>
        <w:jc w:val="left"/>
        <w:outlineLvl w:val="0"/>
        <w:rPr>
          <w:rFonts w:ascii="Verdana" w:hAnsi="Verdana" w:cstheme="minorHAnsi"/>
          <w:sz w:val="18"/>
          <w:szCs w:val="18"/>
        </w:rPr>
      </w:pPr>
      <w:r>
        <w:rPr>
          <w:rFonts w:ascii="Verdana" w:hAnsi="Verdana" w:cstheme="minorHAnsi"/>
          <w:sz w:val="18"/>
          <w:szCs w:val="18"/>
        </w:rPr>
        <w:t xml:space="preserve">                  r</w:t>
      </w:r>
      <w:r w:rsidRPr="006A36F5">
        <w:rPr>
          <w:rFonts w:ascii="Verdana" w:hAnsi="Verdana" w:cstheme="minorHAnsi"/>
          <w:sz w:val="18"/>
          <w:szCs w:val="18"/>
        </w:rPr>
        <w:t>ozłączniki</w:t>
      </w:r>
      <w:r>
        <w:rPr>
          <w:rFonts w:ascii="Verdana" w:hAnsi="Verdana" w:cstheme="minorHAnsi"/>
          <w:sz w:val="18"/>
          <w:szCs w:val="18"/>
        </w:rPr>
        <w:t xml:space="preserve"> </w:t>
      </w:r>
      <w:r w:rsidRPr="006A36F5">
        <w:rPr>
          <w:rFonts w:ascii="Verdana" w:hAnsi="Verdana" w:cstheme="minorHAnsi"/>
          <w:sz w:val="18"/>
          <w:szCs w:val="18"/>
        </w:rPr>
        <w:t>SN sterowane zdalnie.</w:t>
      </w:r>
    </w:p>
    <w:p w14:paraId="41B1F401" w14:textId="74C175F9" w:rsidR="006A36F5" w:rsidRDefault="006A36F5" w:rsidP="006A36F5">
      <w:pPr>
        <w:spacing w:before="120" w:line="276" w:lineRule="auto"/>
        <w:jc w:val="left"/>
        <w:outlineLvl w:val="0"/>
        <w:rPr>
          <w:rFonts w:ascii="Verdana" w:hAnsi="Verdana" w:cstheme="minorHAnsi"/>
          <w:sz w:val="18"/>
          <w:szCs w:val="18"/>
        </w:rPr>
      </w:pPr>
      <w:r w:rsidRPr="006A36F5">
        <w:rPr>
          <w:rFonts w:ascii="Verdana" w:hAnsi="Verdana" w:cstheme="minorHAnsi"/>
          <w:b/>
          <w:bCs/>
          <w:sz w:val="18"/>
          <w:szCs w:val="18"/>
          <w:u w:val="single"/>
        </w:rPr>
        <w:t>Zadanie 2</w:t>
      </w:r>
      <w:r w:rsidRPr="006A36F5">
        <w:rPr>
          <w:rFonts w:ascii="Verdana" w:hAnsi="Verdana" w:cstheme="minorHAnsi"/>
          <w:sz w:val="18"/>
          <w:szCs w:val="18"/>
        </w:rPr>
        <w:t xml:space="preserve"> - wymiana istniejącego rozłącznika SN </w:t>
      </w:r>
      <w:r w:rsidRPr="006A36F5">
        <w:rPr>
          <w:rFonts w:ascii="Verdana" w:hAnsi="Verdana" w:cstheme="minorHAnsi"/>
          <w:b/>
          <w:bCs/>
          <w:sz w:val="18"/>
          <w:szCs w:val="18"/>
        </w:rPr>
        <w:t>22-R-29</w:t>
      </w:r>
      <w:r w:rsidR="008E79E8">
        <w:rPr>
          <w:rFonts w:ascii="Verdana" w:hAnsi="Verdana" w:cstheme="minorHAnsi"/>
          <w:b/>
          <w:bCs/>
          <w:sz w:val="18"/>
          <w:szCs w:val="18"/>
        </w:rPr>
        <w:t>0</w:t>
      </w:r>
      <w:r w:rsidRPr="006A36F5">
        <w:rPr>
          <w:rFonts w:ascii="Verdana" w:hAnsi="Verdana" w:cstheme="minorHAnsi"/>
          <w:b/>
          <w:bCs/>
          <w:sz w:val="18"/>
          <w:szCs w:val="18"/>
        </w:rPr>
        <w:t>2</w:t>
      </w:r>
      <w:r w:rsidRPr="006A36F5">
        <w:rPr>
          <w:rFonts w:ascii="Verdana" w:hAnsi="Verdana" w:cstheme="minorHAnsi"/>
          <w:sz w:val="18"/>
          <w:szCs w:val="18"/>
        </w:rPr>
        <w:t xml:space="preserve"> na nowy rozłącznik SN sterowane </w:t>
      </w:r>
    </w:p>
    <w:p w14:paraId="2838FEE8" w14:textId="7EB4D10C" w:rsidR="006A36F5" w:rsidRPr="006A36F5" w:rsidRDefault="006A36F5" w:rsidP="006A36F5">
      <w:pPr>
        <w:spacing w:before="120" w:line="276" w:lineRule="auto"/>
        <w:jc w:val="left"/>
        <w:outlineLvl w:val="0"/>
        <w:rPr>
          <w:rFonts w:ascii="Verdana" w:hAnsi="Verdana" w:cstheme="minorHAnsi"/>
          <w:sz w:val="18"/>
          <w:szCs w:val="18"/>
        </w:rPr>
      </w:pPr>
      <w:r>
        <w:rPr>
          <w:rFonts w:ascii="Verdana" w:hAnsi="Verdana" w:cstheme="minorHAnsi"/>
          <w:sz w:val="18"/>
          <w:szCs w:val="18"/>
        </w:rPr>
        <w:t xml:space="preserve">                  </w:t>
      </w:r>
      <w:r w:rsidRPr="006A36F5">
        <w:rPr>
          <w:rFonts w:ascii="Verdana" w:hAnsi="Verdana" w:cstheme="minorHAnsi"/>
          <w:sz w:val="18"/>
          <w:szCs w:val="18"/>
        </w:rPr>
        <w:t>zdalnie</w:t>
      </w:r>
    </w:p>
    <w:p w14:paraId="3FB08C7E" w14:textId="77777777" w:rsidR="006D5DEB" w:rsidRPr="007C00FF" w:rsidRDefault="006D5DEB" w:rsidP="00191320">
      <w:pPr>
        <w:pStyle w:val="bezpunkw"/>
        <w:keepNext/>
        <w:ind w:firstLine="0"/>
        <w:rPr>
          <w:rFonts w:ascii="Verdana" w:hAnsi="Verdana" w:cstheme="minorHAnsi"/>
          <w:b/>
          <w:i/>
          <w:color w:val="FF0000"/>
          <w:sz w:val="18"/>
          <w:szCs w:val="18"/>
          <w:lang w:val="pl-PL" w:eastAsia="en-US"/>
        </w:rPr>
      </w:pP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pomontażowych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r w:rsidRPr="007C00FF">
        <w:rPr>
          <w:rFonts w:ascii="Verdana" w:hAnsi="Verdana" w:cstheme="minorHAnsi"/>
          <w:sz w:val="18"/>
          <w:szCs w:val="18"/>
          <w:lang w:val="x-none"/>
        </w:rPr>
        <w:t>agospodaro</w:t>
      </w:r>
      <w:r w:rsidRPr="007C00FF">
        <w:rPr>
          <w:rFonts w:ascii="Verdana" w:hAnsi="Verdana" w:cstheme="minorHAnsi"/>
          <w:sz w:val="18"/>
          <w:szCs w:val="18"/>
        </w:rPr>
        <w:t>wanie</w:t>
      </w:r>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(t.j. Dz. U. z 2023 r. poz. 1587 z późn.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r w:rsidRPr="007C00FF">
        <w:rPr>
          <w:rFonts w:ascii="Verdana" w:hAnsi="Verdana" w:cstheme="minorHAnsi"/>
          <w:sz w:val="18"/>
          <w:szCs w:val="18"/>
          <w:lang w:val="x-none"/>
        </w:rPr>
        <w:t>rawidłowa,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r w:rsidRPr="007C00FF">
        <w:rPr>
          <w:rFonts w:ascii="Verdana" w:hAnsi="Verdana" w:cstheme="minorHAnsi"/>
          <w:sz w:val="18"/>
          <w:szCs w:val="18"/>
          <w:lang w:val="x-none"/>
        </w:rPr>
        <w:t>widencjonowani</w:t>
      </w:r>
      <w:r w:rsidRPr="007C00FF">
        <w:rPr>
          <w:rFonts w:ascii="Verdana" w:hAnsi="Verdana" w:cstheme="minorHAnsi"/>
          <w:sz w:val="18"/>
          <w:szCs w:val="18"/>
        </w:rPr>
        <w:t>e</w:t>
      </w:r>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r w:rsidRPr="007C00FF">
        <w:rPr>
          <w:rFonts w:ascii="Verdana" w:hAnsi="Verdana" w:cstheme="minorHAnsi"/>
          <w:sz w:val="18"/>
          <w:szCs w:val="18"/>
          <w:lang w:val="x-none"/>
        </w:rPr>
        <w:t>dpowiedzialność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lastRenderedPageBreak/>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0C53AA1B" w:rsidR="00A654B3" w:rsidRPr="007C00FF" w:rsidRDefault="006A36F5" w:rsidP="00511069">
      <w:pPr>
        <w:spacing w:before="120" w:line="276" w:lineRule="auto"/>
        <w:outlineLvl w:val="0"/>
        <w:rPr>
          <w:rFonts w:ascii="Verdana" w:hAnsi="Verdana" w:cstheme="minorHAnsi"/>
          <w:sz w:val="18"/>
          <w:szCs w:val="18"/>
        </w:rPr>
      </w:pPr>
      <w:r>
        <w:rPr>
          <w:rFonts w:ascii="Verdana" w:hAnsi="Verdana" w:cstheme="minorHAnsi"/>
          <w:b/>
          <w:i/>
          <w:sz w:val="18"/>
          <w:szCs w:val="18"/>
        </w:rPr>
        <w:t>30</w:t>
      </w:r>
      <w:r w:rsidRPr="006A36F5">
        <w:rPr>
          <w:rFonts w:ascii="Verdana" w:hAnsi="Verdana" w:cstheme="minorHAnsi"/>
          <w:b/>
          <w:i/>
          <w:sz w:val="18"/>
          <w:szCs w:val="18"/>
        </w:rPr>
        <w:t>.10.2026r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r w:rsidR="00A654B3" w:rsidRPr="007C00FF">
        <w:rPr>
          <w:rFonts w:ascii="Verdana" w:hAnsi="Verdana" w:cstheme="minorHAnsi"/>
          <w:b/>
          <w:sz w:val="18"/>
          <w:szCs w:val="18"/>
          <w:u w:val="single"/>
        </w:rPr>
        <w:t>– dla wszystkich zadań</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FED9D79" w14:textId="77777777" w:rsidR="006A36F5" w:rsidRDefault="00B752D1" w:rsidP="006A36F5">
      <w:pPr>
        <w:spacing w:before="120" w:line="276" w:lineRule="auto"/>
        <w:ind w:firstLine="284"/>
        <w:outlineLvl w:val="0"/>
        <w:rPr>
          <w:rFonts w:ascii="Verdana" w:hAnsi="Verdana" w:cstheme="minorHAnsi"/>
          <w:b/>
          <w:bCs/>
          <w:color w:val="FF0000"/>
          <w:sz w:val="18"/>
          <w:szCs w:val="18"/>
        </w:rPr>
      </w:pPr>
      <w:r w:rsidRPr="007C00FF">
        <w:rPr>
          <w:rFonts w:ascii="Verdana" w:hAnsi="Verdana" w:cstheme="minorHAnsi"/>
          <w:sz w:val="18"/>
          <w:szCs w:val="18"/>
        </w:rPr>
        <w:t xml:space="preserve">Na terenie działania: </w:t>
      </w:r>
      <w:r w:rsidR="00FB333F" w:rsidRPr="006A36F5">
        <w:rPr>
          <w:rFonts w:ascii="Verdana" w:hAnsi="Verdana" w:cstheme="minorHAnsi"/>
          <w:b/>
          <w:bCs/>
          <w:sz w:val="18"/>
          <w:szCs w:val="18"/>
        </w:rPr>
        <w:t xml:space="preserve">RE </w:t>
      </w:r>
      <w:r w:rsidR="006A36F5" w:rsidRPr="006A36F5">
        <w:rPr>
          <w:rFonts w:ascii="Verdana" w:hAnsi="Verdana" w:cstheme="minorHAnsi"/>
          <w:b/>
          <w:bCs/>
          <w:sz w:val="18"/>
          <w:szCs w:val="18"/>
        </w:rPr>
        <w:t xml:space="preserve">Żyrardów  w miejscowościach Adamów Letnisko gm. Radziejowice , Marianka gm. Mszczonów  </w:t>
      </w:r>
    </w:p>
    <w:p w14:paraId="621CC83E" w14:textId="4DA1B6C6" w:rsidR="00B752D1" w:rsidRPr="007C00FF" w:rsidRDefault="00B752D1" w:rsidP="006A36F5">
      <w:pPr>
        <w:spacing w:before="120" w:line="276" w:lineRule="auto"/>
        <w:ind w:firstLine="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55E249A5"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 xml:space="preserve">Klauzula – zatwierdzenie do realizacji (dotyczy PGE Dystrybucja S.A. Oddział </w:t>
      </w:r>
      <w:r w:rsidR="005C2E50">
        <w:rPr>
          <w:rFonts w:ascii="Verdana" w:hAnsi="Verdana" w:cstheme="minorHAnsi"/>
          <w:sz w:val="18"/>
          <w:szCs w:val="18"/>
        </w:rPr>
        <w:t>Łódź</w:t>
      </w:r>
      <w:r w:rsidRPr="007C00FF">
        <w:rPr>
          <w:rFonts w:ascii="Verdana" w:hAnsi="Verdana" w:cstheme="minorHAnsi"/>
          <w:sz w:val="18"/>
          <w:szCs w:val="18"/>
        </w:rPr>
        <w:t>.)</w:t>
      </w:r>
    </w:p>
    <w:p w14:paraId="4DA9EB4D" w14:textId="0E0D7F41"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 xml:space="preserve">Notarialny akt nabycia działki pod stację wnętrzową, + geodezyjna mapa podziału działki (dotyczy PGE Dystrybucja S.A. Oddział </w:t>
      </w:r>
      <w:r w:rsidR="005C2E50">
        <w:rPr>
          <w:rFonts w:ascii="Verdana" w:hAnsi="Verdana" w:cstheme="minorHAnsi"/>
          <w:sz w:val="18"/>
          <w:szCs w:val="18"/>
        </w:rPr>
        <w:t>Łódź</w:t>
      </w:r>
      <w:r w:rsidRPr="007C00FF">
        <w:rPr>
          <w:rFonts w:ascii="Verdana" w:hAnsi="Verdana" w:cstheme="minorHAnsi"/>
          <w:sz w:val="18"/>
          <w:szCs w:val="18"/>
        </w:rPr>
        <w:t>)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Sekocenbud),</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Kp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Z = 10 % (od R+S+Kp)</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ICCP-Orgbud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2F05" w14:textId="77777777" w:rsidR="00B87A31" w:rsidRDefault="00B87A31" w:rsidP="004A302B">
      <w:pPr>
        <w:spacing w:line="240" w:lineRule="auto"/>
      </w:pPr>
      <w:r>
        <w:separator/>
      </w:r>
    </w:p>
  </w:endnote>
  <w:endnote w:type="continuationSeparator" w:id="0">
    <w:p w14:paraId="0EC562CC" w14:textId="77777777" w:rsidR="00B87A31" w:rsidRDefault="00B87A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E341" w14:textId="77777777" w:rsidR="00786957" w:rsidRDefault="007869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D8D0" w14:textId="77777777" w:rsidR="00786957" w:rsidRDefault="007869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9260" w14:textId="77777777" w:rsidR="00B87A31" w:rsidRDefault="00B87A31" w:rsidP="004A302B">
      <w:pPr>
        <w:spacing w:line="240" w:lineRule="auto"/>
      </w:pPr>
      <w:r>
        <w:separator/>
      </w:r>
    </w:p>
  </w:footnote>
  <w:footnote w:type="continuationSeparator" w:id="0">
    <w:p w14:paraId="627118E6" w14:textId="77777777" w:rsidR="00B87A31" w:rsidRDefault="00B87A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B1F0" w14:textId="77777777" w:rsidR="00786957" w:rsidRDefault="007869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786957" w14:paraId="40B33677" w14:textId="77777777" w:rsidTr="00935FD0">
      <w:trPr>
        <w:trHeight w:val="1140"/>
      </w:trPr>
      <w:tc>
        <w:tcPr>
          <w:tcW w:w="6119" w:type="dxa"/>
          <w:vAlign w:val="center"/>
        </w:tcPr>
        <w:p w14:paraId="3AE0B687" w14:textId="77777777" w:rsidR="00786957" w:rsidRPr="00786957" w:rsidRDefault="00786957" w:rsidP="00786957">
          <w:pPr>
            <w:suppressAutoHyphens/>
            <w:ind w:right="187"/>
            <w:rPr>
              <w:rFonts w:asciiTheme="majorHAnsi" w:hAnsiTheme="majorHAnsi"/>
              <w:color w:val="000000" w:themeColor="text1"/>
              <w:sz w:val="14"/>
              <w:szCs w:val="18"/>
            </w:rPr>
          </w:pPr>
          <w:r w:rsidRPr="00786957">
            <w:rPr>
              <w:rFonts w:asciiTheme="majorHAnsi" w:hAnsiTheme="majorHAnsi"/>
              <w:color w:val="000000" w:themeColor="text1"/>
              <w:sz w:val="14"/>
              <w:szCs w:val="18"/>
            </w:rPr>
            <w:t>Specyfikacja Warunków Zamówienia (SWZ)</w:t>
          </w:r>
        </w:p>
        <w:p w14:paraId="59C72864" w14:textId="77777777" w:rsidR="00786957" w:rsidRPr="00786957" w:rsidRDefault="00786957" w:rsidP="00786957">
          <w:pPr>
            <w:suppressAutoHyphens/>
            <w:ind w:right="187"/>
            <w:rPr>
              <w:rFonts w:asciiTheme="majorHAnsi" w:hAnsiTheme="majorHAnsi"/>
              <w:color w:val="000000" w:themeColor="text1"/>
              <w:sz w:val="14"/>
              <w:szCs w:val="18"/>
            </w:rPr>
          </w:pPr>
          <w:r w:rsidRPr="00786957">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6181C7D8" w14:textId="6B38953E" w:rsidR="007C00FF" w:rsidRPr="00786957" w:rsidRDefault="00786957" w:rsidP="00786957">
          <w:pPr>
            <w:suppressAutoHyphens/>
            <w:ind w:right="187"/>
            <w:rPr>
              <w:rFonts w:asciiTheme="majorHAnsi" w:hAnsiTheme="majorHAnsi"/>
              <w:color w:val="000000" w:themeColor="text1"/>
              <w:sz w:val="14"/>
              <w:szCs w:val="18"/>
              <w:lang w:val="en-GB"/>
            </w:rPr>
          </w:pPr>
          <w:r w:rsidRPr="00786957">
            <w:rPr>
              <w:rFonts w:asciiTheme="majorHAnsi" w:hAnsiTheme="majorHAnsi"/>
              <w:color w:val="000000" w:themeColor="text1"/>
              <w:sz w:val="14"/>
              <w:szCs w:val="18"/>
              <w:lang w:val="en-GB"/>
            </w:rPr>
            <w:t>POST/DYS/OLD/GZ/00604/2026</w:t>
          </w:r>
          <w:r w:rsidRPr="00786957">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4</w:t>
          </w:r>
        </w:p>
      </w:tc>
      <w:tc>
        <w:tcPr>
          <w:tcW w:w="977" w:type="dxa"/>
          <w:vAlign w:val="center"/>
        </w:tcPr>
        <w:p w14:paraId="4ADCA480" w14:textId="77777777" w:rsidR="007C00FF" w:rsidRPr="00786957" w:rsidRDefault="007C00FF" w:rsidP="007C00FF">
          <w:pPr>
            <w:suppressAutoHyphens/>
            <w:ind w:right="187"/>
            <w:rPr>
              <w:rFonts w:asciiTheme="majorHAnsi" w:hAnsiTheme="majorHAnsi"/>
              <w:color w:val="092D74"/>
              <w:sz w:val="14"/>
              <w:szCs w:val="18"/>
              <w:lang w:val="en-GB"/>
            </w:rPr>
          </w:pPr>
        </w:p>
      </w:tc>
      <w:tc>
        <w:tcPr>
          <w:tcW w:w="3110" w:type="dxa"/>
          <w:vAlign w:val="center"/>
        </w:tcPr>
        <w:p w14:paraId="0D9FA615" w14:textId="77777777" w:rsidR="007C00FF" w:rsidRPr="00786957" w:rsidRDefault="007C00FF" w:rsidP="007C00FF">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F7AE025">
              <wp:simplePos x="0" y="0"/>
              <wp:positionH relativeFrom="page">
                <wp:align>left</wp:align>
              </wp:positionH>
              <wp:positionV relativeFrom="page">
                <wp:posOffset>144476</wp:posOffset>
              </wp:positionV>
              <wp:extent cx="7560310" cy="45719"/>
              <wp:effectExtent l="0" t="0" r="0" b="12065"/>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6483B7"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1.4pt;width:595.3pt;height:3.6pt;flip:y;z-index:25167052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" o:allowincell="f" filled="f" stroked="f" strokeweight=".5pt">
              <v:textbox inset=",0,20pt,0">
                <w:txbxContent>
                  <w:p w14:paraId="12D69E5D" w14:textId="77777777"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07A7F"/>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62DD"/>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2E50"/>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11"/>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7AE"/>
    <w:rsid w:val="006A19DA"/>
    <w:rsid w:val="006A28A2"/>
    <w:rsid w:val="006A3305"/>
    <w:rsid w:val="006A3621"/>
    <w:rsid w:val="006A36F5"/>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6957"/>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3D3F"/>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9E8"/>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33F"/>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7D7"/>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A7D2A"/>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4 do SWZ 2026 reklozer.docx</dmsv2BaseFileName>
    <dmsv2BaseDisplayName xmlns="http://schemas.microsoft.com/sharepoint/v3">Załącznik nr 1 część 4 do SWZ 2026 reklozer</dmsv2BaseDisplayName>
    <dmsv2SWPP2ObjectNumber xmlns="http://schemas.microsoft.com/sharepoint/v3">POST/DYS/OLD/GZ/00604/2026                        </dmsv2SWPP2ObjectNumber>
    <dmsv2SWPP2SumMD5 xmlns="http://schemas.microsoft.com/sharepoint/v3">23e29a641a5fd8c434594004b6db1511</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24428948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PR4UJWENCY6Q-469649581-5855</_dlc_DocId>
    <_dlc_DocIdUrl xmlns="a19cb1c7-c5c7-46d4-85ae-d83685407bba">
      <Url>https://swpp2.dms.gkpge.pl/sites/42/_layouts/15/DocIdRedir.aspx?ID=PR4UJWENCY6Q-469649581-5855</Url>
      <Description>PR4UJWENCY6Q-469649581-5855</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5BDC6EED-8F30-4983-9771-98C156E7F261}">
  <ds:schemaRefs>
    <ds:schemaRef ds:uri="http://schemas.microsoft.com/sharepoint/events"/>
  </ds:schemaRefs>
</ds:datastoreItem>
</file>

<file path=customXml/itemProps2.xml><?xml version="1.0" encoding="utf-8"?>
<ds:datastoreItem xmlns:ds="http://schemas.openxmlformats.org/officeDocument/2006/customXml" ds:itemID="{97B88641-8C25-41F8-88E6-679D659C2C3C}"/>
</file>

<file path=customXml/itemProps3.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1464</Words>
  <Characters>8788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8</cp:revision>
  <cp:lastPrinted>2021-02-26T13:14:00Z</cp:lastPrinted>
  <dcterms:created xsi:type="dcterms:W3CDTF">2025-10-28T09:21:00Z</dcterms:created>
  <dcterms:modified xsi:type="dcterms:W3CDTF">2026-02-24T12:59:00Z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493707dc-afad-45b4-8f46-f4f36fb63544</vt:lpwstr>
  </property>
</Properties>
</file>